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0029" w14:textId="77777777" w:rsidR="001A3D82" w:rsidRDefault="001A3D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110"/>
        <w:gridCol w:w="1276"/>
        <w:gridCol w:w="5387"/>
        <w:gridCol w:w="2551"/>
      </w:tblGrid>
      <w:tr w:rsidR="005524F1" w14:paraId="6D6648A1" w14:textId="77777777" w:rsidTr="006717F9">
        <w:tc>
          <w:tcPr>
            <w:tcW w:w="1844" w:type="dxa"/>
            <w:shd w:val="clear" w:color="auto" w:fill="auto"/>
          </w:tcPr>
          <w:p w14:paraId="4525EF39" w14:textId="77777777" w:rsidR="005524F1" w:rsidRDefault="005524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Concordat Principle </w:t>
            </w:r>
          </w:p>
        </w:tc>
        <w:tc>
          <w:tcPr>
            <w:tcW w:w="4110" w:type="dxa"/>
            <w:shd w:val="clear" w:color="auto" w:fill="auto"/>
          </w:tcPr>
          <w:p w14:paraId="5B573EBD" w14:textId="77777777" w:rsidR="005524F1" w:rsidRDefault="005524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276" w:type="dxa"/>
            <w:shd w:val="clear" w:color="auto" w:fill="auto"/>
          </w:tcPr>
          <w:p w14:paraId="3D0EBB1E" w14:textId="77777777" w:rsidR="005524F1" w:rsidRDefault="005524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5387" w:type="dxa"/>
            <w:shd w:val="clear" w:color="auto" w:fill="auto"/>
          </w:tcPr>
          <w:p w14:paraId="792D3B4C" w14:textId="77777777" w:rsidR="005524F1" w:rsidRDefault="005524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Success Measures</w:t>
            </w:r>
          </w:p>
        </w:tc>
        <w:tc>
          <w:tcPr>
            <w:tcW w:w="2551" w:type="dxa"/>
            <w:shd w:val="clear" w:color="auto" w:fill="auto"/>
          </w:tcPr>
          <w:p w14:paraId="5748C4CD" w14:textId="77777777" w:rsidR="005524F1" w:rsidRDefault="005524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5524F1" w14:paraId="5F0119AC" w14:textId="77777777" w:rsidTr="006717F9">
        <w:tc>
          <w:tcPr>
            <w:tcW w:w="1844" w:type="dxa"/>
            <w:shd w:val="clear" w:color="auto" w:fill="auto"/>
          </w:tcPr>
          <w:p w14:paraId="07FD43C0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Recruitment &amp; Selection (1) </w:t>
            </w:r>
          </w:p>
          <w:p w14:paraId="1A1CC896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4110" w:type="dxa"/>
            <w:shd w:val="clear" w:color="auto" w:fill="auto"/>
          </w:tcPr>
          <w:p w14:paraId="5D47DFEF" w14:textId="6BE0EFA5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Sign up to the San Francisco Declaration on Research Assessment (DORA). Issue revised guidelines for recruitment, probation &amp; promotion panels incorporating the associated commitments. </w:t>
            </w:r>
          </w:p>
        </w:tc>
        <w:tc>
          <w:tcPr>
            <w:tcW w:w="1276" w:type="dxa"/>
            <w:shd w:val="clear" w:color="auto" w:fill="auto"/>
          </w:tcPr>
          <w:p w14:paraId="2966AB91" w14:textId="0A4EC98A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21</w:t>
            </w:r>
          </w:p>
        </w:tc>
        <w:tc>
          <w:tcPr>
            <w:tcW w:w="5387" w:type="dxa"/>
            <w:shd w:val="clear" w:color="auto" w:fill="auto"/>
          </w:tcPr>
          <w:p w14:paraId="62D0A80D" w14:textId="5C281656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-Panels aware of implications of DORA and recognise a diversity of outputs in order to ensure fair and inclusive selection and appointment processes</w:t>
            </w:r>
          </w:p>
          <w:p w14:paraId="79CBD469" w14:textId="08EDD8D5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DORA Working Group agreed by Academic Board to convene in July 2020 and to produce guidance</w:t>
            </w:r>
          </w:p>
          <w:p w14:paraId="1BA0AA3F" w14:textId="2F5680A2" w:rsidR="005524F1" w:rsidRDefault="005524F1" w:rsidP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-Promotions, recruitment and probation guidance updated</w:t>
            </w:r>
          </w:p>
        </w:tc>
        <w:tc>
          <w:tcPr>
            <w:tcW w:w="2551" w:type="dxa"/>
            <w:shd w:val="clear" w:color="auto" w:fill="auto"/>
          </w:tcPr>
          <w:p w14:paraId="756E8C8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7549">
              <w:rPr>
                <w:rFonts w:ascii="Arial" w:eastAsia="Arial" w:hAnsi="Arial" w:cs="Arial"/>
                <w:sz w:val="20"/>
                <w:szCs w:val="20"/>
              </w:rPr>
              <w:t>Chair of Responsible Metrics working group</w:t>
            </w:r>
          </w:p>
          <w:p w14:paraId="3E3D355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AFEE27" w14:textId="42ED686B" w:rsidR="005524F1" w:rsidRDefault="005524F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524F1" w14:paraId="05F1623C" w14:textId="77777777" w:rsidTr="007A2B1A">
        <w:trPr>
          <w:trHeight w:val="959"/>
        </w:trPr>
        <w:tc>
          <w:tcPr>
            <w:tcW w:w="1844" w:type="dxa"/>
            <w:shd w:val="clear" w:color="auto" w:fill="auto"/>
          </w:tcPr>
          <w:p w14:paraId="4842B83F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Recruitment &amp; Selection 1.2</w:t>
            </w:r>
          </w:p>
        </w:tc>
        <w:tc>
          <w:tcPr>
            <w:tcW w:w="4110" w:type="dxa"/>
            <w:shd w:val="clear" w:color="auto" w:fill="auto"/>
          </w:tcPr>
          <w:p w14:paraId="352CD621" w14:textId="50AB8A7C" w:rsidR="005524F1" w:rsidRDefault="005524F1" w:rsidP="005915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recruitment process and training offer so it supports best practice in the recruitment of researchers from across the world</w:t>
            </w:r>
          </w:p>
        </w:tc>
        <w:tc>
          <w:tcPr>
            <w:tcW w:w="1276" w:type="dxa"/>
            <w:shd w:val="clear" w:color="auto" w:fill="auto"/>
          </w:tcPr>
          <w:p w14:paraId="1944F833" w14:textId="67906282" w:rsidR="005524F1" w:rsidRDefault="005524F1" w:rsidP="006A75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July 21 </w:t>
            </w:r>
          </w:p>
          <w:p w14:paraId="4141023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9380232" w14:textId="29D004DE" w:rsidR="005524F1" w:rsidRDefault="005524F1" w:rsidP="005915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Revised recruitment process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 xml:space="preserve"> leads to increased applications from overseas researchers, with proportional increase in job offers to overseas researchers</w:t>
            </w:r>
          </w:p>
        </w:tc>
        <w:tc>
          <w:tcPr>
            <w:tcW w:w="2551" w:type="dxa"/>
            <w:shd w:val="clear" w:color="auto" w:fill="auto"/>
          </w:tcPr>
          <w:p w14:paraId="5F23455F" w14:textId="179CF16F" w:rsidR="005524F1" w:rsidRPr="006A7549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7549">
              <w:rPr>
                <w:rFonts w:ascii="Arial" w:eastAsia="Arial" w:hAnsi="Arial" w:cs="Arial"/>
                <w:sz w:val="20"/>
                <w:szCs w:val="20"/>
              </w:rPr>
              <w:t xml:space="preserve">Recruitment manager </w:t>
            </w:r>
          </w:p>
          <w:p w14:paraId="04B90498" w14:textId="59D0B96A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7549">
              <w:rPr>
                <w:rFonts w:ascii="Arial" w:eastAsia="Arial" w:hAnsi="Arial" w:cs="Arial"/>
                <w:sz w:val="20"/>
                <w:szCs w:val="20"/>
              </w:rPr>
              <w:t>advised by 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Pr="006A754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524F1" w14:paraId="5535D4B4" w14:textId="77777777" w:rsidTr="006717F9">
        <w:tc>
          <w:tcPr>
            <w:tcW w:w="1844" w:type="dxa"/>
            <w:shd w:val="clear" w:color="auto" w:fill="auto"/>
          </w:tcPr>
          <w:p w14:paraId="18524954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Recruitment &amp; Selection 1.3</w:t>
            </w:r>
          </w:p>
        </w:tc>
        <w:tc>
          <w:tcPr>
            <w:tcW w:w="4110" w:type="dxa"/>
            <w:shd w:val="clear" w:color="auto" w:fill="auto"/>
          </w:tcPr>
          <w:p w14:paraId="27D3D177" w14:textId="5ECE1506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relocation fees scheme to include G7 research staff in line with aim of making SOAS an employer of choice</w:t>
            </w:r>
          </w:p>
          <w:p w14:paraId="041793AE" w14:textId="73F93672" w:rsidR="005524F1" w:rsidRDefault="005524F1" w:rsidP="00A060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-Ensure relocation fees are costed into grants</w:t>
            </w:r>
          </w:p>
        </w:tc>
        <w:tc>
          <w:tcPr>
            <w:tcW w:w="1276" w:type="dxa"/>
            <w:shd w:val="clear" w:color="auto" w:fill="auto"/>
          </w:tcPr>
          <w:p w14:paraId="17893EB3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  <w:p w14:paraId="07370D4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20D528F" w14:textId="29C175F1" w:rsidR="005524F1" w:rsidRDefault="005524F1" w:rsidP="00A060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-All research staff recruited on G7 are able to access the School’s relocation scheme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>, and this is monitored and reported annually to REC</w:t>
            </w:r>
          </w:p>
          <w:p w14:paraId="6604413D" w14:textId="7DD6777D" w:rsidR="005524F1" w:rsidRDefault="005524F1" w:rsidP="00A060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-G7 research staff take up the scheme where eligible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 xml:space="preserve"> and this is monitored and reported annually to REC</w:t>
            </w:r>
          </w:p>
        </w:tc>
        <w:tc>
          <w:tcPr>
            <w:tcW w:w="2551" w:type="dxa"/>
            <w:shd w:val="clear" w:color="auto" w:fill="auto"/>
          </w:tcPr>
          <w:p w14:paraId="4C47BE1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 of HR</w:t>
            </w:r>
          </w:p>
        </w:tc>
      </w:tr>
      <w:tr w:rsidR="005524F1" w14:paraId="29170360" w14:textId="77777777" w:rsidTr="006717F9">
        <w:tc>
          <w:tcPr>
            <w:tcW w:w="1844" w:type="dxa"/>
            <w:shd w:val="clear" w:color="auto" w:fill="auto"/>
          </w:tcPr>
          <w:p w14:paraId="0D2DE193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Recruitment &amp; Selection 1.4</w:t>
            </w:r>
          </w:p>
          <w:p w14:paraId="3433724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4B32E1C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all new ECRs receive a full induction from their project / department</w:t>
            </w:r>
          </w:p>
        </w:tc>
        <w:tc>
          <w:tcPr>
            <w:tcW w:w="1276" w:type="dxa"/>
            <w:shd w:val="clear" w:color="auto" w:fill="auto"/>
          </w:tcPr>
          <w:p w14:paraId="4765481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  <w:p w14:paraId="07CAA533" w14:textId="77777777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FFBF6B" w14:textId="77777777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3E2F0D" w14:textId="77777777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D42081" w14:textId="77777777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F328E0" w14:textId="3AD8FECB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Annual</w:t>
            </w:r>
          </w:p>
          <w:p w14:paraId="58FCC3BC" w14:textId="22EFDCB7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3EDDBC9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100% of new ECRs </w:t>
            </w:r>
          </w:p>
          <w:p w14:paraId="07159BB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-receive welcome email in their first month including information about the full range of support available</w:t>
            </w:r>
          </w:p>
          <w:p w14:paraId="6303925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-have a mentor for at least 6 months</w:t>
            </w:r>
          </w:p>
          <w:p w14:paraId="1B1141A3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FC8A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Annual update of handbook for Early Career researchers published on website</w:t>
            </w:r>
          </w:p>
        </w:tc>
        <w:tc>
          <w:tcPr>
            <w:tcW w:w="2551" w:type="dxa"/>
            <w:shd w:val="clear" w:color="auto" w:fill="auto"/>
          </w:tcPr>
          <w:p w14:paraId="7890AE1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&amp; Enterprise Director</w:t>
            </w:r>
          </w:p>
        </w:tc>
      </w:tr>
      <w:tr w:rsidR="005524F1" w14:paraId="28656451" w14:textId="77777777" w:rsidTr="006717F9">
        <w:tc>
          <w:tcPr>
            <w:tcW w:w="1844" w:type="dxa"/>
            <w:shd w:val="clear" w:color="auto" w:fill="auto"/>
          </w:tcPr>
          <w:p w14:paraId="72E93F6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Recruitment &amp; Selection 1.5</w:t>
            </w:r>
          </w:p>
          <w:p w14:paraId="7932683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DD44A44" w14:textId="3B6D376D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Integration into the 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 xml:space="preserve">wider SOAS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A2B1A" w:rsidRPr="00935FAC">
              <w:rPr>
                <w:rFonts w:ascii="Arial" w:eastAsia="Arial" w:hAnsi="Arial" w:cs="Arial"/>
                <w:sz w:val="20"/>
                <w:szCs w:val="20"/>
              </w:rPr>
              <w:t xml:space="preserve"> All ECRs are considered full members of their departments, included in department lists and meetings, and encouraged to attend and contribute to departmental seminars</w:t>
            </w:r>
            <w:r w:rsidR="007A2B1A" w:rsidRPr="00935FA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 </w:t>
            </w:r>
            <w:r w:rsidR="007A2B1A" w:rsidRPr="00935FAC">
              <w:rPr>
                <w:rFonts w:ascii="Arial" w:eastAsia="Arial" w:hAnsi="Arial" w:cs="Arial"/>
                <w:sz w:val="20"/>
                <w:szCs w:val="20"/>
              </w:rPr>
              <w:t>All have a web profile linked to their host department</w:t>
            </w:r>
          </w:p>
        </w:tc>
        <w:tc>
          <w:tcPr>
            <w:tcW w:w="1276" w:type="dxa"/>
            <w:shd w:val="clear" w:color="auto" w:fill="auto"/>
          </w:tcPr>
          <w:p w14:paraId="7431CF2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35E594DD" w14:textId="2A99DC7E" w:rsidR="005524F1" w:rsidRDefault="007A2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staff report that they feel part of their departments in annual survey and focus groups; all have a web profile and are routinely invited to department events</w:t>
            </w:r>
          </w:p>
        </w:tc>
        <w:tc>
          <w:tcPr>
            <w:tcW w:w="2551" w:type="dxa"/>
            <w:shd w:val="clear" w:color="auto" w:fill="auto"/>
          </w:tcPr>
          <w:p w14:paraId="438CC00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Departmental Research Directors</w:t>
            </w:r>
          </w:p>
        </w:tc>
      </w:tr>
      <w:tr w:rsidR="005524F1" w14:paraId="735335C3" w14:textId="77777777" w:rsidTr="00937AF8">
        <w:tc>
          <w:tcPr>
            <w:tcW w:w="15168" w:type="dxa"/>
            <w:gridSpan w:val="5"/>
            <w:shd w:val="clear" w:color="auto" w:fill="EEECE1"/>
          </w:tcPr>
          <w:p w14:paraId="54C632C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2E14904B" w14:textId="77777777" w:rsidTr="006717F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6F6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Recognition &amp; Value (2) 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9C1B" w14:textId="7DD48828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be an employer of choice, ensure all policies are relevant to research staff, and communicated to them. Consultation or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negotiation with the recognised TUs including working groups where necessary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A1E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July 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22EA" w14:textId="55C19095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of promotions and rewards policies to ensure that they are relevant to research staff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387C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 of HR</w:t>
            </w:r>
          </w:p>
        </w:tc>
      </w:tr>
      <w:tr w:rsidR="005524F1" w14:paraId="0A389F36" w14:textId="77777777" w:rsidTr="006717F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6A6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Recognition &amp; Value 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02F9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Increase career progression opportunities through the development of a Fellowship scheme to enable ECRs to rewrite their PhD dissertation into a book  </w:t>
            </w:r>
          </w:p>
          <w:p w14:paraId="2734EE5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-Instigate a fundraising project with previous staff / alumni </w:t>
            </w:r>
          </w:p>
          <w:p w14:paraId="34A837F4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-Implementation of the scheme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55E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December 22</w:t>
            </w:r>
          </w:p>
          <w:p w14:paraId="61270C4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0E003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D3A85E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 23</w:t>
            </w:r>
          </w:p>
          <w:p w14:paraId="7FEEDF5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A373" w14:textId="2290F5B3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 xml:space="preserve">-Concept note written and donors identified, working with Advancement </w:t>
            </w:r>
            <w:r w:rsidR="006717F9">
              <w:rPr>
                <w:rFonts w:ascii="Arial" w:eastAsia="Arial" w:hAnsi="Arial" w:cs="Arial"/>
                <w:sz w:val="20"/>
                <w:szCs w:val="20"/>
              </w:rPr>
              <w:t>team</w:t>
            </w:r>
          </w:p>
          <w:p w14:paraId="09FAC122" w14:textId="14A8BD07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-Fundraising project -raises funds for one writing fellowship per year via % of seedcorn fund plus donations</w:t>
            </w:r>
          </w:p>
          <w:p w14:paraId="73CFF590" w14:textId="77777777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 xml:space="preserve">- Number of fellowships offered and completed. </w:t>
            </w:r>
          </w:p>
          <w:p w14:paraId="0E8BAA37" w14:textId="294E115A" w:rsidR="005524F1" w:rsidRPr="004F2635" w:rsidRDefault="005524F1" w:rsidP="004F263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- Outputs from the fellowships available on SOAS Research Online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B482" w14:textId="5EDFBE5F" w:rsidR="005524F1" w:rsidRDefault="005524F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Pro-Director (Research &amp; Enterprise) and 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Pr="004F263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524F1" w14:paraId="4989ABD1" w14:textId="77777777" w:rsidTr="006717F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87C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Recognition and Value 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8B40" w14:textId="5417E4C1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Heads of relevant department to ensure researchers workloads are set appropriately and include career advancement activities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16E7" w14:textId="2ACCB32A" w:rsidR="005524F1" w:rsidRPr="004F2635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711D" w14:textId="55E1D3BA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HoDs conduct annual review of research staff activities and have oversight of SDRs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2D2B" w14:textId="77777777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HoDs</w:t>
            </w:r>
          </w:p>
        </w:tc>
      </w:tr>
      <w:tr w:rsidR="005524F1" w14:paraId="7A577F3A" w14:textId="77777777" w:rsidTr="006717F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5734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Recognition &amp; Value 2.4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3D67" w14:textId="1F6A3954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all research staff are offered an annual SDR meeting. New process includes setting an objective on inclusion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9E9E" w14:textId="04F9D962" w:rsidR="005524F1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 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D32A" w14:textId="0A02250F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 of research staff have SDR meeting</w:t>
            </w:r>
            <w:r w:rsidR="006717F9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measured through annual survey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BD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HoDs/Line managers</w:t>
            </w:r>
          </w:p>
        </w:tc>
      </w:tr>
      <w:tr w:rsidR="005524F1" w14:paraId="699F966A" w14:textId="77777777" w:rsidTr="006717F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C41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Recognition &amp; Value 2.5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6F1D" w14:textId="173FFA5A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Support staff through mentoring schemes, including impact mentorin</w:t>
            </w:r>
            <w:r w:rsidR="004B5E73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1F7E6D53" w14:textId="77777777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34CF0F" w14:textId="77777777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09EA" w14:textId="77777777" w:rsidR="005524F1" w:rsidRPr="004F263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E9F6" w14:textId="078736B0" w:rsidR="005524F1" w:rsidRPr="004F2635" w:rsidRDefault="005524F1" w:rsidP="004B5E7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4F2635">
              <w:rPr>
                <w:rFonts w:ascii="Arial" w:eastAsia="Arial" w:hAnsi="Arial" w:cs="Arial"/>
                <w:sz w:val="20"/>
                <w:szCs w:val="20"/>
              </w:rPr>
              <w:t>80% of research staff complete PRP form and hold an annual meeting with their mentor to discussion research and career plan</w:t>
            </w:r>
            <w:r w:rsidR="007A2B1A">
              <w:rPr>
                <w:rFonts w:ascii="Arial" w:eastAsia="Arial" w:hAnsi="Arial" w:cs="Arial"/>
                <w:sz w:val="20"/>
                <w:szCs w:val="20"/>
              </w:rPr>
              <w:t xml:space="preserve">. Research staff report </w:t>
            </w:r>
            <w:r w:rsidR="004B5E73">
              <w:rPr>
                <w:rFonts w:ascii="Arial" w:eastAsia="Arial" w:hAnsi="Arial" w:cs="Arial"/>
                <w:sz w:val="20"/>
                <w:szCs w:val="20"/>
              </w:rPr>
              <w:t>useful career development sessions held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80B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Research mentor/ </w:t>
            </w:r>
          </w:p>
          <w:p w14:paraId="5A9B1B7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Departmental Directors of Research</w:t>
            </w:r>
          </w:p>
        </w:tc>
      </w:tr>
      <w:tr w:rsidR="005524F1" w14:paraId="55B7C6DD" w14:textId="77777777" w:rsidTr="006717F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46C9" w14:textId="77777777" w:rsidR="005524F1" w:rsidRDefault="005524F1"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Recognition &amp; Value 2.6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6489" w14:textId="5B728D69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Look at ways to improve the promotion prospects of research-active staff on teaching-only contracts such that they may be able to progress to positions with research responsibilities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BB99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E900" w14:textId="6949BADA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524F1">
              <w:rPr>
                <w:rFonts w:ascii="Arial" w:eastAsia="Arial" w:hAnsi="Arial" w:cs="Arial"/>
                <w:sz w:val="20"/>
                <w:szCs w:val="20"/>
              </w:rPr>
              <w:t>Personal Research Plans for all research-active teaching-only staff have an 80%+ uptake</w:t>
            </w:r>
          </w:p>
          <w:p w14:paraId="1D6367C3" w14:textId="4C9230E2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524F1">
              <w:rPr>
                <w:rFonts w:ascii="Arial" w:eastAsia="Arial" w:hAnsi="Arial" w:cs="Arial"/>
                <w:sz w:val="20"/>
                <w:szCs w:val="20"/>
              </w:rPr>
              <w:t>Career pathway created for teaching-only staff to move onto a teaching and research track</w:t>
            </w:r>
          </w:p>
          <w:p w14:paraId="0990779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785D" w14:textId="3C5D0FC0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Pro-Director Research &amp; Enterprise </w:t>
            </w:r>
          </w:p>
          <w:p w14:paraId="4B9B2F59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79C109C1" w14:textId="77777777" w:rsidTr="00937AF8">
        <w:tc>
          <w:tcPr>
            <w:tcW w:w="15168" w:type="dxa"/>
            <w:gridSpan w:val="5"/>
            <w:shd w:val="clear" w:color="auto" w:fill="D9D9D9"/>
          </w:tcPr>
          <w:p w14:paraId="68F71896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665552C7" w14:textId="77777777" w:rsidTr="006717F9">
        <w:tc>
          <w:tcPr>
            <w:tcW w:w="1844" w:type="dxa"/>
            <w:shd w:val="clear" w:color="auto" w:fill="auto"/>
          </w:tcPr>
          <w:p w14:paraId="068AD700" w14:textId="4897239E" w:rsidR="005524F1" w:rsidRDefault="005524F1" w:rsidP="006717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(3&amp;4)</w:t>
            </w:r>
            <w:r w:rsidR="006717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14:paraId="5E176F79" w14:textId="3E055EB4" w:rsidR="005524F1" w:rsidRDefault="005524F1" w:rsidP="005D72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and potential PIs supported to develop skills in coaching for career development</w:t>
            </w:r>
          </w:p>
        </w:tc>
        <w:tc>
          <w:tcPr>
            <w:tcW w:w="1276" w:type="dxa"/>
            <w:shd w:val="clear" w:color="auto" w:fill="auto"/>
          </w:tcPr>
          <w:p w14:paraId="441C643A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103DD4CC" w14:textId="2E9B99C2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 participation</w:t>
            </w:r>
            <w:r w:rsidR="004B5E73">
              <w:rPr>
                <w:rFonts w:ascii="Arial" w:eastAsia="Arial" w:hAnsi="Arial" w:cs="Arial"/>
                <w:sz w:val="20"/>
                <w:szCs w:val="20"/>
              </w:rPr>
              <w:t xml:space="preserve"> in MGHN and 1:1/course with positive impact reported in annual survey</w:t>
            </w:r>
          </w:p>
        </w:tc>
        <w:tc>
          <w:tcPr>
            <w:tcW w:w="2551" w:type="dxa"/>
            <w:shd w:val="clear" w:color="auto" w:fill="auto"/>
          </w:tcPr>
          <w:p w14:paraId="2F1953C7" w14:textId="23E951FA" w:rsidR="005524F1" w:rsidRPr="005D7258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D7258"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79A9A140" w14:textId="77777777" w:rsidTr="006717F9">
        <w:tc>
          <w:tcPr>
            <w:tcW w:w="1844" w:type="dxa"/>
            <w:shd w:val="clear" w:color="auto" w:fill="auto"/>
          </w:tcPr>
          <w:p w14:paraId="7255772E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3.2</w:t>
            </w:r>
          </w:p>
        </w:tc>
        <w:tc>
          <w:tcPr>
            <w:tcW w:w="4110" w:type="dxa"/>
            <w:shd w:val="clear" w:color="auto" w:fill="auto"/>
          </w:tcPr>
          <w:p w14:paraId="66A734A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new PIs are offered a mentor; mentoring to take a coaching approach with development of guidance and training</w:t>
            </w:r>
          </w:p>
          <w:p w14:paraId="53CA0636" w14:textId="1056A290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-Mentors to have access to comprehensive guidelines and 1:1 or group training on mentoring with a coaching approach</w:t>
            </w:r>
          </w:p>
        </w:tc>
        <w:tc>
          <w:tcPr>
            <w:tcW w:w="1276" w:type="dxa"/>
            <w:shd w:val="clear" w:color="auto" w:fill="auto"/>
          </w:tcPr>
          <w:p w14:paraId="085D320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7A557D1A" w14:textId="158F859C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-100% of all new PIs offered a mentor at the start of their project;</w:t>
            </w:r>
          </w:p>
          <w:p w14:paraId="47F515AC" w14:textId="55802101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-Comprehensive guidelines,1:1 and group training prepared and accessed</w:t>
            </w:r>
          </w:p>
          <w:p w14:paraId="5BEEF33F" w14:textId="7E21ED3A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8F69399" w14:textId="563149DA" w:rsidR="005524F1" w:rsidRPr="005D7258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D7258"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007BEE7E" w14:textId="77777777" w:rsidTr="006717F9">
        <w:tc>
          <w:tcPr>
            <w:tcW w:w="1844" w:type="dxa"/>
            <w:shd w:val="clear" w:color="auto" w:fill="auto"/>
          </w:tcPr>
          <w:p w14:paraId="7B9C192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Support &amp; Career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Development 3.3</w:t>
            </w:r>
          </w:p>
        </w:tc>
        <w:tc>
          <w:tcPr>
            <w:tcW w:w="4110" w:type="dxa"/>
            <w:shd w:val="clear" w:color="auto" w:fill="auto"/>
          </w:tcPr>
          <w:p w14:paraId="2E7E8FD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Update guidance on research data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management </w:t>
            </w:r>
          </w:p>
        </w:tc>
        <w:tc>
          <w:tcPr>
            <w:tcW w:w="1276" w:type="dxa"/>
            <w:shd w:val="clear" w:color="auto" w:fill="auto"/>
          </w:tcPr>
          <w:p w14:paraId="48600EE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Jan 21</w:t>
            </w:r>
          </w:p>
        </w:tc>
        <w:tc>
          <w:tcPr>
            <w:tcW w:w="5387" w:type="dxa"/>
            <w:shd w:val="clear" w:color="auto" w:fill="auto"/>
          </w:tcPr>
          <w:p w14:paraId="2827B24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 increase on number of support queries</w:t>
            </w:r>
          </w:p>
        </w:tc>
        <w:tc>
          <w:tcPr>
            <w:tcW w:w="2551" w:type="dxa"/>
            <w:shd w:val="clear" w:color="auto" w:fill="auto"/>
          </w:tcPr>
          <w:p w14:paraId="15EFB7F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Scholarly comms team</w:t>
            </w:r>
          </w:p>
        </w:tc>
      </w:tr>
      <w:tr w:rsidR="005524F1" w14:paraId="23F6EDA0" w14:textId="77777777" w:rsidTr="006717F9">
        <w:tc>
          <w:tcPr>
            <w:tcW w:w="1844" w:type="dxa"/>
            <w:shd w:val="clear" w:color="auto" w:fill="auto"/>
          </w:tcPr>
          <w:p w14:paraId="2D78F84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3.4</w:t>
            </w:r>
          </w:p>
        </w:tc>
        <w:tc>
          <w:tcPr>
            <w:tcW w:w="4110" w:type="dxa"/>
            <w:shd w:val="clear" w:color="auto" w:fill="auto"/>
          </w:tcPr>
          <w:p w14:paraId="14DA28A5" w14:textId="77777777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Develop scheme to resource and allocate seed corn funding to allow researchers to work on specific projects to enhance their skills.</w:t>
            </w:r>
          </w:p>
        </w:tc>
        <w:tc>
          <w:tcPr>
            <w:tcW w:w="1276" w:type="dxa"/>
            <w:shd w:val="clear" w:color="auto" w:fill="auto"/>
          </w:tcPr>
          <w:p w14:paraId="1056074A" w14:textId="77777777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4F626CB3" w14:textId="77777777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 xml:space="preserve">Scheme is launched and the resource is fully allocated. </w:t>
            </w:r>
          </w:p>
        </w:tc>
        <w:tc>
          <w:tcPr>
            <w:tcW w:w="2551" w:type="dxa"/>
            <w:shd w:val="clear" w:color="auto" w:fill="auto"/>
          </w:tcPr>
          <w:p w14:paraId="0DF0E3D0" w14:textId="77777777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5A6556A9" w14:textId="77777777" w:rsidTr="006717F9">
        <w:tc>
          <w:tcPr>
            <w:tcW w:w="1844" w:type="dxa"/>
            <w:shd w:val="clear" w:color="auto" w:fill="auto"/>
          </w:tcPr>
          <w:p w14:paraId="5306DD6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3.5</w:t>
            </w:r>
          </w:p>
          <w:p w14:paraId="4967AC4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949EC8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Continue to run Post-doc lunches (4 per year) and MGHN meetings (3 per year), virtually if necessary</w:t>
            </w:r>
          </w:p>
        </w:tc>
        <w:tc>
          <w:tcPr>
            <w:tcW w:w="1276" w:type="dxa"/>
            <w:shd w:val="clear" w:color="auto" w:fill="auto"/>
          </w:tcPr>
          <w:p w14:paraId="1404AA40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1204289A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least 50% of research staff engage with ECR Forum; at least 50% of PIs engage with MGHN meetings</w:t>
            </w:r>
          </w:p>
        </w:tc>
        <w:tc>
          <w:tcPr>
            <w:tcW w:w="2551" w:type="dxa"/>
            <w:shd w:val="clear" w:color="auto" w:fill="auto"/>
          </w:tcPr>
          <w:p w14:paraId="44965D2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1E4E8813" w14:textId="77777777" w:rsidTr="006717F9">
        <w:tc>
          <w:tcPr>
            <w:tcW w:w="1844" w:type="dxa"/>
            <w:shd w:val="clear" w:color="auto" w:fill="auto"/>
          </w:tcPr>
          <w:p w14:paraId="7CBA7DD0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3.6</w:t>
            </w:r>
          </w:p>
          <w:p w14:paraId="19798E66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758A004" w14:textId="2C7016BF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and develop training offering and support materials</w:t>
            </w:r>
            <w:r w:rsidR="004B5E73">
              <w:rPr>
                <w:rFonts w:ascii="Arial" w:eastAsia="Arial" w:hAnsi="Arial" w:cs="Arial"/>
                <w:sz w:val="20"/>
                <w:szCs w:val="20"/>
              </w:rPr>
              <w:t xml:space="preserve"> for researchers and PIs</w:t>
            </w:r>
          </w:p>
        </w:tc>
        <w:tc>
          <w:tcPr>
            <w:tcW w:w="1276" w:type="dxa"/>
            <w:shd w:val="clear" w:color="auto" w:fill="auto"/>
          </w:tcPr>
          <w:p w14:paraId="4DFFA5CD" w14:textId="5A8DF794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638875F9" w14:textId="6F4E862A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Training offering reviewed; training offering for research staff accessed by all new research staff; PI training accessed via MGHN and bespoke sessions by at least 50% of target group per year</w:t>
            </w:r>
          </w:p>
        </w:tc>
        <w:tc>
          <w:tcPr>
            <w:tcW w:w="2551" w:type="dxa"/>
            <w:shd w:val="clear" w:color="auto" w:fill="auto"/>
          </w:tcPr>
          <w:p w14:paraId="0522BCC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4EA7F878" w14:textId="77777777" w:rsidTr="006717F9">
        <w:tc>
          <w:tcPr>
            <w:tcW w:w="1844" w:type="dxa"/>
            <w:shd w:val="clear" w:color="auto" w:fill="auto"/>
          </w:tcPr>
          <w:p w14:paraId="1C94D08B" w14:textId="163C60EF" w:rsidR="005524F1" w:rsidRDefault="005524F1" w:rsidP="009C4D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  <w:p w14:paraId="6976AD3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8DF3AE6" w14:textId="4B592360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Safeguarding online course launched to be completed by all PIs and when identified by the Research Ethics panel</w:t>
            </w:r>
          </w:p>
        </w:tc>
        <w:tc>
          <w:tcPr>
            <w:tcW w:w="1276" w:type="dxa"/>
            <w:shd w:val="clear" w:color="auto" w:fill="auto"/>
          </w:tcPr>
          <w:p w14:paraId="76E333F6" w14:textId="1A38F9C7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054D5D3B" w14:textId="08B4B09A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staff identified by the Research Ethics panel to complete online safeguarding course before the project launch. Monitored and reported annually to REC</w:t>
            </w:r>
          </w:p>
        </w:tc>
        <w:tc>
          <w:tcPr>
            <w:tcW w:w="2551" w:type="dxa"/>
            <w:shd w:val="clear" w:color="auto" w:fill="auto"/>
          </w:tcPr>
          <w:p w14:paraId="03FE5377" w14:textId="7FED4D24" w:rsidR="005524F1" w:rsidRDefault="004B5E73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4B5E73"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6637C718" w14:textId="77777777" w:rsidTr="006717F9">
        <w:tc>
          <w:tcPr>
            <w:tcW w:w="1844" w:type="dxa"/>
            <w:shd w:val="clear" w:color="auto" w:fill="auto"/>
          </w:tcPr>
          <w:p w14:paraId="14111760" w14:textId="5B4C44F7" w:rsidR="005524F1" w:rsidRDefault="005524F1" w:rsidP="009C4D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73850DC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26E22F8" w14:textId="271C72DC" w:rsidR="005524F1" w:rsidRDefault="005524F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 Grant Holders Network will be taken forward with facilitated sessions on PI training</w:t>
            </w:r>
          </w:p>
        </w:tc>
        <w:tc>
          <w:tcPr>
            <w:tcW w:w="1276" w:type="dxa"/>
            <w:shd w:val="clear" w:color="auto" w:fill="auto"/>
          </w:tcPr>
          <w:p w14:paraId="66406D37" w14:textId="401B5116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50AAD11D" w14:textId="77DA88AA" w:rsidR="005524F1" w:rsidRDefault="004B5E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least 3 meetings per year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>; target at least 50% of target group to access meetings in each year</w:t>
            </w:r>
          </w:p>
        </w:tc>
        <w:tc>
          <w:tcPr>
            <w:tcW w:w="2551" w:type="dxa"/>
            <w:shd w:val="clear" w:color="auto" w:fill="auto"/>
          </w:tcPr>
          <w:p w14:paraId="44252239" w14:textId="04E83AAF" w:rsidR="005524F1" w:rsidRDefault="00354F8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54F8A"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5D076624" w14:textId="77777777" w:rsidTr="006717F9">
        <w:tc>
          <w:tcPr>
            <w:tcW w:w="1844" w:type="dxa"/>
            <w:shd w:val="clear" w:color="auto" w:fill="auto"/>
          </w:tcPr>
          <w:p w14:paraId="45C6F354" w14:textId="1F3CBC05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&amp; Career Development 3.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14:paraId="7C71C0B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2FB3F91" w14:textId="5C1FF9A7" w:rsidR="005524F1" w:rsidRDefault="005524F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 the development of publication profiles</w:t>
            </w:r>
            <w:r w:rsidR="00354F8A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6BC266BB" w14:textId="51B970B5" w:rsidR="005524F1" w:rsidRDefault="00354F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524F1">
              <w:rPr>
                <w:rFonts w:ascii="Arial" w:eastAsia="Arial" w:hAnsi="Arial" w:cs="Arial"/>
                <w:sz w:val="20"/>
                <w:szCs w:val="20"/>
              </w:rPr>
              <w:t xml:space="preserve">Annual School-wide book fair / publishing event </w:t>
            </w:r>
            <w:r w:rsidR="005524F1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identifying suitable publishers for current / future publications</w:t>
            </w:r>
            <w:r w:rsidR="005524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EBF199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-Departments run professionalization workshops. </w:t>
            </w:r>
          </w:p>
          <w:p w14:paraId="45A0302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-REF coordinators review publications by ECRs and give advice on which journals to target</w:t>
            </w:r>
          </w:p>
        </w:tc>
        <w:tc>
          <w:tcPr>
            <w:tcW w:w="1276" w:type="dxa"/>
            <w:shd w:val="clear" w:color="auto" w:fill="auto"/>
          </w:tcPr>
          <w:p w14:paraId="2D644380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 21</w:t>
            </w:r>
          </w:p>
        </w:tc>
        <w:tc>
          <w:tcPr>
            <w:tcW w:w="5387" w:type="dxa"/>
            <w:shd w:val="clear" w:color="auto" w:fill="auto"/>
          </w:tcPr>
          <w:p w14:paraId="7A7E5E96" w14:textId="1FA75253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-Annual event runs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 xml:space="preserve"> with positive feedback</w:t>
            </w:r>
          </w:p>
          <w:p w14:paraId="5CFF9F92" w14:textId="75BAF5F8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-Three departmental events take place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 xml:space="preserve"> with positive feedback</w:t>
            </w:r>
          </w:p>
          <w:p w14:paraId="55998046" w14:textId="597FDD2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>Annual 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eedback indicates that these interventions were helpful in securing the placement of publications. </w:t>
            </w:r>
          </w:p>
          <w:p w14:paraId="7CDAEE4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5F3BC08" w14:textId="6F6D2C29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Pr="009C4DA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524F1" w14:paraId="29EFF8FB" w14:textId="77777777" w:rsidTr="006717F9">
        <w:tc>
          <w:tcPr>
            <w:tcW w:w="1844" w:type="dxa"/>
            <w:shd w:val="clear" w:color="auto" w:fill="auto"/>
          </w:tcPr>
          <w:p w14:paraId="7FE66112" w14:textId="741369AA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76FA">
              <w:rPr>
                <w:rFonts w:ascii="Arial" w:eastAsia="Arial" w:hAnsi="Arial" w:cs="Arial"/>
                <w:sz w:val="20"/>
                <w:szCs w:val="20"/>
              </w:rPr>
              <w:t>Support &amp; Career Development 3.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4426E24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2C2B50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Invite alumni across a wide range of employment sectors to careers events</w:t>
            </w:r>
          </w:p>
        </w:tc>
        <w:tc>
          <w:tcPr>
            <w:tcW w:w="1276" w:type="dxa"/>
            <w:shd w:val="clear" w:color="auto" w:fill="auto"/>
          </w:tcPr>
          <w:p w14:paraId="22A87A9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Annual</w:t>
            </w:r>
          </w:p>
        </w:tc>
        <w:tc>
          <w:tcPr>
            <w:tcW w:w="5387" w:type="dxa"/>
            <w:shd w:val="clear" w:color="auto" w:fill="auto"/>
          </w:tcPr>
          <w:p w14:paraId="34745FB4" w14:textId="4952250C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Feedback from these events shows that they are helpful</w:t>
            </w:r>
          </w:p>
        </w:tc>
        <w:tc>
          <w:tcPr>
            <w:tcW w:w="2551" w:type="dxa"/>
            <w:shd w:val="clear" w:color="auto" w:fill="auto"/>
          </w:tcPr>
          <w:p w14:paraId="6F885C99" w14:textId="2FC84FA9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Pr="009C4DAC">
              <w:rPr>
                <w:rFonts w:ascii="Arial" w:eastAsia="Arial" w:hAnsi="Arial" w:cs="Arial"/>
                <w:sz w:val="20"/>
                <w:szCs w:val="20"/>
              </w:rPr>
              <w:t xml:space="preserve">) working with Alumni Office </w:t>
            </w:r>
          </w:p>
        </w:tc>
      </w:tr>
      <w:tr w:rsidR="005524F1" w14:paraId="6241A4F3" w14:textId="77777777" w:rsidTr="00937AF8">
        <w:tc>
          <w:tcPr>
            <w:tcW w:w="15168" w:type="dxa"/>
            <w:gridSpan w:val="5"/>
            <w:shd w:val="clear" w:color="auto" w:fill="CCCCCC"/>
          </w:tcPr>
          <w:p w14:paraId="762F83D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77F1BE2D" w14:textId="77777777" w:rsidTr="006717F9">
        <w:tc>
          <w:tcPr>
            <w:tcW w:w="1844" w:type="dxa"/>
            <w:shd w:val="clear" w:color="auto" w:fill="FFFFFF"/>
          </w:tcPr>
          <w:p w14:paraId="0B61E86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Researchers’ Responsibility (5) </w:t>
            </w:r>
          </w:p>
          <w:p w14:paraId="461C8C8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5.1.</w:t>
            </w:r>
          </w:p>
        </w:tc>
        <w:tc>
          <w:tcPr>
            <w:tcW w:w="4110" w:type="dxa"/>
            <w:shd w:val="clear" w:color="auto" w:fill="FFFFFF"/>
          </w:tcPr>
          <w:p w14:paraId="504724B4" w14:textId="566E58BD" w:rsidR="005524F1" w:rsidRPr="005524F1" w:rsidRDefault="005524F1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 w:rsidRPr="005524F1">
              <w:rPr>
                <w:rFonts w:ascii="Arial" w:eastAsia="Arial" w:hAnsi="Arial" w:cs="Arial"/>
                <w:sz w:val="20"/>
                <w:szCs w:val="20"/>
              </w:rPr>
              <w:t xml:space="preserve">Research Mentoring: Ensure that all research staff have a mentor. Expand and focus on the depts with most post-docs; </w:t>
            </w:r>
            <w:r w:rsidRPr="005524F1">
              <w:rPr>
                <w:rFonts w:ascii="Arial" w:eastAsia="Arial" w:hAnsi="Arial" w:cs="Arial"/>
                <w:sz w:val="20"/>
                <w:szCs w:val="20"/>
              </w:rPr>
              <w:lastRenderedPageBreak/>
              <w:t>work with specific research directors</w:t>
            </w:r>
          </w:p>
        </w:tc>
        <w:tc>
          <w:tcPr>
            <w:tcW w:w="1276" w:type="dxa"/>
            <w:shd w:val="clear" w:color="auto" w:fill="FFFFFF"/>
          </w:tcPr>
          <w:p w14:paraId="0C0CBF16" w14:textId="15D2DC04" w:rsidR="005524F1" w:rsidRDefault="00354F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Sept</w:t>
            </w:r>
            <w:r w:rsidR="005524F1" w:rsidRPr="005524F1">
              <w:rPr>
                <w:rFonts w:ascii="Arial" w:eastAsia="Arial" w:hAnsi="Arial" w:cs="Arial"/>
                <w:sz w:val="20"/>
                <w:szCs w:val="20"/>
              </w:rPr>
              <w:t xml:space="preserve"> 21</w:t>
            </w:r>
          </w:p>
          <w:p w14:paraId="3203ADCA" w14:textId="77777777" w:rsidR="00354F8A" w:rsidRDefault="00354F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F59FE3" w14:textId="77777777" w:rsidR="00354F8A" w:rsidRDefault="00354F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57E02F" w14:textId="5F506477" w:rsidR="00354F8A" w:rsidRPr="005524F1" w:rsidRDefault="00354F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4A406043" w14:textId="1762DB29" w:rsidR="005524F1" w:rsidRPr="005524F1" w:rsidRDefault="00354F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</w:t>
            </w:r>
            <w:r w:rsidR="005524F1" w:rsidRPr="005524F1">
              <w:rPr>
                <w:rFonts w:ascii="Arial" w:eastAsia="Arial" w:hAnsi="Arial" w:cs="Arial"/>
                <w:sz w:val="20"/>
                <w:szCs w:val="20"/>
              </w:rPr>
              <w:t xml:space="preserve">ist of research staff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their </w:t>
            </w:r>
            <w:r w:rsidR="005524F1" w:rsidRPr="005524F1">
              <w:rPr>
                <w:rFonts w:ascii="Arial" w:eastAsia="Arial" w:hAnsi="Arial" w:cs="Arial"/>
                <w:sz w:val="20"/>
                <w:szCs w:val="20"/>
              </w:rPr>
              <w:t>mentors submitted to 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="005524F1" w:rsidRPr="005524F1">
              <w:rPr>
                <w:rFonts w:ascii="Arial" w:eastAsia="Arial" w:hAnsi="Arial" w:cs="Arial"/>
                <w:sz w:val="20"/>
                <w:szCs w:val="20"/>
              </w:rPr>
              <w:t>) by Departmental Directors of Research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annually. Mentoring to be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embedded in institutional culture </w:t>
            </w:r>
            <w:r w:rsidR="007F0DDF">
              <w:rPr>
                <w:rFonts w:ascii="Arial" w:eastAsia="Arial" w:hAnsi="Arial" w:cs="Arial"/>
                <w:sz w:val="20"/>
                <w:szCs w:val="20"/>
              </w:rPr>
              <w:t>by inclusion in the workload allocation model</w:t>
            </w:r>
          </w:p>
        </w:tc>
        <w:tc>
          <w:tcPr>
            <w:tcW w:w="2551" w:type="dxa"/>
            <w:shd w:val="clear" w:color="auto" w:fill="FFFFFF"/>
          </w:tcPr>
          <w:p w14:paraId="22B9C77A" w14:textId="3BBA6D4F" w:rsidR="005524F1" w:rsidRDefault="005524F1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524F1">
              <w:rPr>
                <w:rFonts w:ascii="Arial" w:eastAsia="Arial" w:hAnsi="Arial" w:cs="Arial"/>
                <w:sz w:val="20"/>
                <w:szCs w:val="20"/>
              </w:rPr>
              <w:lastRenderedPageBreak/>
              <w:t>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Pr="005524F1">
              <w:rPr>
                <w:rFonts w:ascii="Arial" w:eastAsia="Arial" w:hAnsi="Arial" w:cs="Arial"/>
                <w:sz w:val="20"/>
                <w:szCs w:val="20"/>
              </w:rPr>
              <w:t xml:space="preserve">) working with </w:t>
            </w:r>
            <w:r w:rsidRPr="005524F1">
              <w:rPr>
                <w:rFonts w:ascii="Arial" w:eastAsia="Arial" w:hAnsi="Arial" w:cs="Arial"/>
                <w:sz w:val="20"/>
                <w:szCs w:val="20"/>
              </w:rPr>
              <w:lastRenderedPageBreak/>
              <w:t>Departmental Directors of Research.</w:t>
            </w:r>
          </w:p>
        </w:tc>
      </w:tr>
      <w:tr w:rsidR="005524F1" w14:paraId="678F940D" w14:textId="77777777" w:rsidTr="006717F9">
        <w:tc>
          <w:tcPr>
            <w:tcW w:w="1844" w:type="dxa"/>
            <w:shd w:val="clear" w:color="auto" w:fill="auto"/>
          </w:tcPr>
          <w:p w14:paraId="1019C96C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Researchers’ Responsibility 5.2</w:t>
            </w:r>
          </w:p>
        </w:tc>
        <w:tc>
          <w:tcPr>
            <w:tcW w:w="4110" w:type="dxa"/>
            <w:shd w:val="clear" w:color="auto" w:fill="auto"/>
          </w:tcPr>
          <w:p w14:paraId="4850FE7D" w14:textId="77777777" w:rsidR="005524F1" w:rsidRPr="009C4DAC" w:rsidRDefault="005524F1">
            <w:pPr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ECR Forum co-owned and run</w:t>
            </w:r>
          </w:p>
        </w:tc>
        <w:tc>
          <w:tcPr>
            <w:tcW w:w="1276" w:type="dxa"/>
            <w:shd w:val="clear" w:color="auto" w:fill="auto"/>
          </w:tcPr>
          <w:p w14:paraId="663FDB79" w14:textId="77777777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Dec 20</w:t>
            </w:r>
          </w:p>
        </w:tc>
        <w:tc>
          <w:tcPr>
            <w:tcW w:w="5387" w:type="dxa"/>
            <w:shd w:val="clear" w:color="auto" w:fill="auto"/>
          </w:tcPr>
          <w:p w14:paraId="3AD39789" w14:textId="77777777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ECRs taking ownership of forum and arrange at least 4 meetings per year</w:t>
            </w:r>
          </w:p>
        </w:tc>
        <w:tc>
          <w:tcPr>
            <w:tcW w:w="2551" w:type="dxa"/>
            <w:shd w:val="clear" w:color="auto" w:fill="auto"/>
          </w:tcPr>
          <w:p w14:paraId="62692FCB" w14:textId="746EAEB4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ADR (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Researcher Development &amp; Ethics</w:t>
            </w:r>
            <w:r w:rsidRPr="009C4DAC">
              <w:rPr>
                <w:rFonts w:ascii="Arial" w:eastAsia="Arial" w:hAnsi="Arial" w:cs="Arial"/>
                <w:sz w:val="20"/>
                <w:szCs w:val="20"/>
              </w:rPr>
              <w:t>) working with Departmental Directors of Research.</w:t>
            </w:r>
          </w:p>
        </w:tc>
      </w:tr>
      <w:tr w:rsidR="005524F1" w14:paraId="05C8209F" w14:textId="77777777" w:rsidTr="006717F9">
        <w:tc>
          <w:tcPr>
            <w:tcW w:w="1844" w:type="dxa"/>
            <w:shd w:val="clear" w:color="auto" w:fill="auto"/>
          </w:tcPr>
          <w:p w14:paraId="0A2FB82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Researchers’ Responsibility 5.3</w:t>
            </w:r>
          </w:p>
        </w:tc>
        <w:tc>
          <w:tcPr>
            <w:tcW w:w="4110" w:type="dxa"/>
            <w:shd w:val="clear" w:color="auto" w:fill="auto"/>
          </w:tcPr>
          <w:p w14:paraId="0F91C436" w14:textId="2A2B0E16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 training / guidance to support the revised Open Access Policy (OAP)</w:t>
            </w:r>
          </w:p>
        </w:tc>
        <w:tc>
          <w:tcPr>
            <w:tcW w:w="1276" w:type="dxa"/>
            <w:shd w:val="clear" w:color="auto" w:fill="auto"/>
          </w:tcPr>
          <w:p w14:paraId="6620F979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1A0F771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staff with research responsibilities aware of OAP</w:t>
            </w:r>
          </w:p>
        </w:tc>
        <w:tc>
          <w:tcPr>
            <w:tcW w:w="2551" w:type="dxa"/>
            <w:shd w:val="clear" w:color="auto" w:fill="auto"/>
          </w:tcPr>
          <w:p w14:paraId="5E5888EB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Scholarly Comms</w:t>
            </w:r>
          </w:p>
        </w:tc>
      </w:tr>
      <w:tr w:rsidR="005524F1" w14:paraId="73D45213" w14:textId="77777777" w:rsidTr="006717F9">
        <w:tc>
          <w:tcPr>
            <w:tcW w:w="1844" w:type="dxa"/>
            <w:shd w:val="clear" w:color="auto" w:fill="auto"/>
          </w:tcPr>
          <w:p w14:paraId="6998243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Researchers’ Responsibility 5.4</w:t>
            </w:r>
          </w:p>
          <w:p w14:paraId="0CB3260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FC5D924" w14:textId="77777777" w:rsidR="005524F1" w:rsidRDefault="005524F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Raise profiles of research through implementation of findings of SOAS research online open library project regarding researcher identifiers, build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online profiles and make research more visible</w:t>
            </w:r>
          </w:p>
        </w:tc>
        <w:tc>
          <w:tcPr>
            <w:tcW w:w="1276" w:type="dxa"/>
            <w:shd w:val="clear" w:color="auto" w:fill="auto"/>
          </w:tcPr>
          <w:p w14:paraId="74281FAE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42543BBD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 profiles and research optimally visible; all staff have ORCID iDs</w:t>
            </w:r>
          </w:p>
        </w:tc>
        <w:tc>
          <w:tcPr>
            <w:tcW w:w="2551" w:type="dxa"/>
            <w:shd w:val="clear" w:color="auto" w:fill="auto"/>
          </w:tcPr>
          <w:p w14:paraId="3484A04C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Scholarly Comms</w:t>
            </w:r>
          </w:p>
          <w:p w14:paraId="5F0646E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75F0F84F" w14:textId="77777777" w:rsidTr="006717F9">
        <w:tc>
          <w:tcPr>
            <w:tcW w:w="1844" w:type="dxa"/>
            <w:shd w:val="clear" w:color="auto" w:fill="auto"/>
          </w:tcPr>
          <w:p w14:paraId="335D99D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Researchers’ Responsibility 5.5</w:t>
            </w:r>
          </w:p>
          <w:p w14:paraId="28E2A49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9D12181" w14:textId="38636FEB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Ensure all research staff and PIs are aware of the online Safeguarding course, and complete if required by the 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esearch Ethics Policy</w:t>
            </w:r>
          </w:p>
        </w:tc>
        <w:tc>
          <w:tcPr>
            <w:tcW w:w="1276" w:type="dxa"/>
            <w:shd w:val="clear" w:color="auto" w:fill="auto"/>
          </w:tcPr>
          <w:p w14:paraId="06FF13E1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37AF8"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02AA5331" w14:textId="05F373BC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100% of staff who are required to complete the Safeguarding course do so 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>within the required time limit</w:t>
            </w:r>
            <w:r w:rsidR="00832F93">
              <w:rPr>
                <w:rFonts w:ascii="Arial" w:eastAsia="Arial" w:hAnsi="Arial" w:cs="Arial"/>
                <w:sz w:val="20"/>
                <w:szCs w:val="20"/>
              </w:rPr>
              <w:t>. Completions reported annually to REC</w:t>
            </w:r>
          </w:p>
        </w:tc>
        <w:tc>
          <w:tcPr>
            <w:tcW w:w="2551" w:type="dxa"/>
            <w:shd w:val="clear" w:color="auto" w:fill="auto"/>
          </w:tcPr>
          <w:p w14:paraId="5B4637F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3F6E109B" w14:textId="77777777" w:rsidTr="00937AF8">
        <w:tc>
          <w:tcPr>
            <w:tcW w:w="15168" w:type="dxa"/>
            <w:gridSpan w:val="5"/>
            <w:shd w:val="clear" w:color="auto" w:fill="D9D9D9"/>
          </w:tcPr>
          <w:p w14:paraId="2799D57E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56CB0999" w14:textId="77777777" w:rsidTr="006717F9">
        <w:tc>
          <w:tcPr>
            <w:tcW w:w="1844" w:type="dxa"/>
            <w:shd w:val="clear" w:color="auto" w:fill="auto"/>
          </w:tcPr>
          <w:p w14:paraId="7C7FDF33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Diversity &amp; Equality 6.1</w:t>
            </w:r>
          </w:p>
        </w:tc>
        <w:tc>
          <w:tcPr>
            <w:tcW w:w="4110" w:type="dxa"/>
            <w:shd w:val="clear" w:color="auto" w:fill="auto"/>
          </w:tcPr>
          <w:p w14:paraId="50A2A003" w14:textId="1760FBBB" w:rsidR="005524F1" w:rsidRDefault="005524F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Updated EDI Strategy 2020-24 agreed to be launched in Sept 20</w:t>
            </w:r>
          </w:p>
          <w:p w14:paraId="09E16FEE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8FB2F6" w14:textId="3FD17BB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2BD1555E" w14:textId="7EBB874A" w:rsidR="005524F1" w:rsidRPr="009C4DAC" w:rsidRDefault="005524F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Variety of measures including closing the gender and race pay gap and impact on equity in the career progression of staff</w:t>
            </w:r>
            <w:r>
              <w:rPr>
                <w:rFonts w:ascii="Arial" w:eastAsia="Arial" w:hAnsi="Arial" w:cs="Arial"/>
                <w:sz w:val="20"/>
                <w:szCs w:val="20"/>
              </w:rPr>
              <w:t>: measurement within that action plan to be reported to EDC</w:t>
            </w:r>
          </w:p>
        </w:tc>
        <w:tc>
          <w:tcPr>
            <w:tcW w:w="2551" w:type="dxa"/>
            <w:shd w:val="clear" w:color="auto" w:fill="auto"/>
          </w:tcPr>
          <w:p w14:paraId="18C4D45D" w14:textId="5DDF601D" w:rsidR="005524F1" w:rsidRPr="009C4DAC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4DAC">
              <w:rPr>
                <w:rFonts w:ascii="Arial" w:eastAsia="Arial" w:hAnsi="Arial" w:cs="Arial"/>
                <w:sz w:val="20"/>
                <w:szCs w:val="20"/>
              </w:rPr>
              <w:t>EDI</w:t>
            </w:r>
            <w:r w:rsidR="006717F9">
              <w:rPr>
                <w:rFonts w:ascii="Arial" w:eastAsia="Arial" w:hAnsi="Arial" w:cs="Arial"/>
                <w:sz w:val="20"/>
                <w:szCs w:val="20"/>
              </w:rPr>
              <w:t xml:space="preserve"> Manager</w:t>
            </w:r>
          </w:p>
        </w:tc>
      </w:tr>
      <w:tr w:rsidR="005524F1" w14:paraId="7D90899A" w14:textId="77777777" w:rsidTr="006717F9">
        <w:tc>
          <w:tcPr>
            <w:tcW w:w="1844" w:type="dxa"/>
            <w:shd w:val="clear" w:color="auto" w:fill="auto"/>
          </w:tcPr>
          <w:p w14:paraId="463C11AA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Diversity &amp; Equality 6.2</w:t>
            </w:r>
          </w:p>
        </w:tc>
        <w:tc>
          <w:tcPr>
            <w:tcW w:w="4110" w:type="dxa"/>
            <w:shd w:val="clear" w:color="auto" w:fill="auto"/>
          </w:tcPr>
          <w:p w14:paraId="097E93DB" w14:textId="4072778E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EIAs – include institutional plans (EDI strategy) and training plans for online delivery</w:t>
            </w:r>
          </w:p>
        </w:tc>
        <w:tc>
          <w:tcPr>
            <w:tcW w:w="1276" w:type="dxa"/>
            <w:shd w:val="clear" w:color="auto" w:fill="auto"/>
          </w:tcPr>
          <w:p w14:paraId="57FAFE04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52EFC7E7" w14:textId="6B491D19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Equalities taken into account in any research-related institutional activity</w:t>
            </w:r>
          </w:p>
        </w:tc>
        <w:tc>
          <w:tcPr>
            <w:tcW w:w="2551" w:type="dxa"/>
            <w:shd w:val="clear" w:color="auto" w:fill="auto"/>
          </w:tcPr>
          <w:p w14:paraId="53D4CAB3" w14:textId="066F3295" w:rsidR="005524F1" w:rsidRDefault="005524F1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717F9">
              <w:rPr>
                <w:rFonts w:ascii="Arial" w:eastAsia="Arial" w:hAnsi="Arial" w:cs="Arial"/>
                <w:sz w:val="20"/>
                <w:szCs w:val="20"/>
              </w:rPr>
              <w:t>EDI</w:t>
            </w:r>
            <w:r w:rsidR="006717F9" w:rsidRPr="006717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17F9">
              <w:rPr>
                <w:rFonts w:ascii="Arial" w:eastAsia="Arial" w:hAnsi="Arial" w:cs="Arial"/>
                <w:sz w:val="20"/>
                <w:szCs w:val="20"/>
              </w:rPr>
              <w:t>Manager</w:t>
            </w:r>
          </w:p>
        </w:tc>
      </w:tr>
      <w:tr w:rsidR="005524F1" w14:paraId="7C49CDAE" w14:textId="77777777" w:rsidTr="006717F9">
        <w:tc>
          <w:tcPr>
            <w:tcW w:w="1844" w:type="dxa"/>
            <w:shd w:val="clear" w:color="auto" w:fill="auto"/>
          </w:tcPr>
          <w:p w14:paraId="2CFBCEE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Diversity &amp; Equality 6.3</w:t>
            </w:r>
          </w:p>
        </w:tc>
        <w:tc>
          <w:tcPr>
            <w:tcW w:w="4110" w:type="dxa"/>
            <w:shd w:val="clear" w:color="auto" w:fill="auto"/>
          </w:tcPr>
          <w:p w14:paraId="533C8A5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Develop and deliver ‘Where do you draw the line’ training </w:t>
            </w:r>
          </w:p>
        </w:tc>
        <w:tc>
          <w:tcPr>
            <w:tcW w:w="1276" w:type="dxa"/>
            <w:shd w:val="clear" w:color="auto" w:fill="auto"/>
          </w:tcPr>
          <w:p w14:paraId="54942E6E" w14:textId="517191D9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22</w:t>
            </w:r>
          </w:p>
        </w:tc>
        <w:tc>
          <w:tcPr>
            <w:tcW w:w="5387" w:type="dxa"/>
            <w:shd w:val="clear" w:color="auto" w:fill="auto"/>
          </w:tcPr>
          <w:p w14:paraId="53C6115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 of all staff complete the training and contribute to developing a framework for accountability on equalities at SOAS</w:t>
            </w:r>
          </w:p>
        </w:tc>
        <w:tc>
          <w:tcPr>
            <w:tcW w:w="2551" w:type="dxa"/>
            <w:shd w:val="clear" w:color="auto" w:fill="auto"/>
          </w:tcPr>
          <w:p w14:paraId="70943F9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71C06">
              <w:rPr>
                <w:rFonts w:ascii="Arial" w:eastAsia="Arial" w:hAnsi="Arial" w:cs="Arial"/>
                <w:sz w:val="20"/>
                <w:szCs w:val="20"/>
              </w:rPr>
              <w:t>Pro-Director Research &amp; Enterprise working with HR Trainer</w:t>
            </w:r>
          </w:p>
        </w:tc>
      </w:tr>
      <w:tr w:rsidR="005524F1" w14:paraId="1EC06D3C" w14:textId="77777777" w:rsidTr="006717F9">
        <w:tc>
          <w:tcPr>
            <w:tcW w:w="1844" w:type="dxa"/>
            <w:shd w:val="clear" w:color="auto" w:fill="auto"/>
          </w:tcPr>
          <w:p w14:paraId="36648D3E" w14:textId="73002C2A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Diversity &amp; </w:t>
            </w:r>
            <w:r w:rsidRPr="00354F8A">
              <w:rPr>
                <w:rFonts w:ascii="Arial" w:eastAsia="Arial" w:hAnsi="Arial" w:cs="Arial"/>
                <w:sz w:val="20"/>
                <w:szCs w:val="20"/>
              </w:rPr>
              <w:t xml:space="preserve">Equality 6.4 </w:t>
            </w:r>
          </w:p>
        </w:tc>
        <w:tc>
          <w:tcPr>
            <w:tcW w:w="4110" w:type="dxa"/>
            <w:shd w:val="clear" w:color="auto" w:fill="auto"/>
          </w:tcPr>
          <w:p w14:paraId="4A8B45D6" w14:textId="0C62FCE5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that managers of researchers are effectively trained in relation to equality, diversity and inclusion, wellbeing and mental health</w:t>
            </w:r>
          </w:p>
          <w:p w14:paraId="7833A239" w14:textId="0CF5072E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-Promote researcher specific materials on Vitae and incorporate into management training materials</w:t>
            </w:r>
          </w:p>
        </w:tc>
        <w:tc>
          <w:tcPr>
            <w:tcW w:w="1276" w:type="dxa"/>
            <w:shd w:val="clear" w:color="auto" w:fill="auto"/>
          </w:tcPr>
          <w:p w14:paraId="6FE356BF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7F83C8E8" w14:textId="45D32704" w:rsidR="005524F1" w:rsidRPr="00DB758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7585">
              <w:rPr>
                <w:rFonts w:ascii="Arial" w:eastAsia="Arial" w:hAnsi="Arial" w:cs="Arial"/>
                <w:sz w:val="20"/>
                <w:szCs w:val="20"/>
              </w:rPr>
              <w:t>100% of managers of researchers complete online Equality Overview every two years</w:t>
            </w:r>
            <w:r w:rsidR="00354F8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DBF5F4B" w14:textId="77777777" w:rsidR="005524F1" w:rsidRPr="00DB758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B7B98E" w14:textId="77777777" w:rsidR="005524F1" w:rsidRPr="00DB758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7585">
              <w:rPr>
                <w:rFonts w:ascii="Arial" w:eastAsia="Arial" w:hAnsi="Arial" w:cs="Arial"/>
                <w:sz w:val="20"/>
                <w:szCs w:val="20"/>
              </w:rPr>
              <w:t>Researcher specific materials on Vitae are incorporated into management training materials</w:t>
            </w:r>
          </w:p>
        </w:tc>
        <w:tc>
          <w:tcPr>
            <w:tcW w:w="2551" w:type="dxa"/>
            <w:shd w:val="clear" w:color="auto" w:fill="auto"/>
          </w:tcPr>
          <w:p w14:paraId="7056596B" w14:textId="29E28FFB" w:rsidR="005524F1" w:rsidRPr="00DB7585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7585">
              <w:rPr>
                <w:rFonts w:ascii="Arial" w:eastAsia="Arial" w:hAnsi="Arial" w:cs="Arial"/>
                <w:sz w:val="20"/>
                <w:szCs w:val="20"/>
              </w:rPr>
              <w:t>RED</w:t>
            </w:r>
          </w:p>
        </w:tc>
      </w:tr>
      <w:tr w:rsidR="005524F1" w14:paraId="2C707216" w14:textId="77777777" w:rsidTr="006717F9">
        <w:tc>
          <w:tcPr>
            <w:tcW w:w="1844" w:type="dxa"/>
            <w:shd w:val="clear" w:color="auto" w:fill="D9D9D9"/>
          </w:tcPr>
          <w:p w14:paraId="572B5B94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D9D9D9"/>
          </w:tcPr>
          <w:p w14:paraId="3565333A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D9D9D9"/>
          </w:tcPr>
          <w:p w14:paraId="066B1895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4F1" w14:paraId="4BC2558A" w14:textId="77777777" w:rsidTr="006717F9">
        <w:tc>
          <w:tcPr>
            <w:tcW w:w="1844" w:type="dxa"/>
            <w:shd w:val="clear" w:color="auto" w:fill="auto"/>
          </w:tcPr>
          <w:p w14:paraId="70D57F32" w14:textId="4B1D821B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Implementation &amp; Review 7.1</w:t>
            </w:r>
          </w:p>
        </w:tc>
        <w:tc>
          <w:tcPr>
            <w:tcW w:w="4110" w:type="dxa"/>
            <w:shd w:val="clear" w:color="auto" w:fill="auto"/>
          </w:tcPr>
          <w:p w14:paraId="497D8CC3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 collecting data from research staff and PIs via CEDARS or alternative survey, on an annual basis from 2021</w:t>
            </w:r>
          </w:p>
        </w:tc>
        <w:tc>
          <w:tcPr>
            <w:tcW w:w="1276" w:type="dxa"/>
            <w:shd w:val="clear" w:color="auto" w:fill="auto"/>
          </w:tcPr>
          <w:p w14:paraId="708DE862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21</w:t>
            </w:r>
          </w:p>
        </w:tc>
        <w:tc>
          <w:tcPr>
            <w:tcW w:w="5387" w:type="dxa"/>
            <w:shd w:val="clear" w:color="auto" w:fill="auto"/>
          </w:tcPr>
          <w:p w14:paraId="0F18E5C0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least 50% of staff and PIs engage with survey</w:t>
            </w:r>
          </w:p>
        </w:tc>
        <w:tc>
          <w:tcPr>
            <w:tcW w:w="2551" w:type="dxa"/>
            <w:shd w:val="clear" w:color="auto" w:fill="auto"/>
          </w:tcPr>
          <w:p w14:paraId="4932AAD3" w14:textId="77777777" w:rsidR="005524F1" w:rsidRPr="00071C06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71C06">
              <w:rPr>
                <w:rFonts w:ascii="Arial" w:eastAsia="Arial" w:hAnsi="Arial" w:cs="Arial"/>
                <w:sz w:val="20"/>
                <w:szCs w:val="20"/>
              </w:rPr>
              <w:t>ADR (Researcher Development &amp; Ethics)</w:t>
            </w:r>
          </w:p>
        </w:tc>
      </w:tr>
      <w:tr w:rsidR="005524F1" w14:paraId="0C6DFE0B" w14:textId="77777777" w:rsidTr="006717F9"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</w:tcPr>
          <w:p w14:paraId="7958605A" w14:textId="22D4AA49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Implementation &amp; Review 7.</w:t>
            </w:r>
            <w:r w:rsidR="00D1484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4E755900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Run focus groups to measure engagement with this plan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6E43C08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 21 &amp; March 23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7CDFA903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least 20% of research staff engage with focus groups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B63DB71" w14:textId="77777777" w:rsidR="005524F1" w:rsidRPr="00071C06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71C06">
              <w:rPr>
                <w:rFonts w:ascii="Arial" w:eastAsia="Arial" w:hAnsi="Arial" w:cs="Arial"/>
                <w:sz w:val="20"/>
                <w:szCs w:val="20"/>
              </w:rPr>
              <w:t>ADR (Researcher Development &amp; Ethics)</w:t>
            </w:r>
          </w:p>
        </w:tc>
      </w:tr>
      <w:tr w:rsidR="006717F9" w14:paraId="269AD059" w14:textId="77777777" w:rsidTr="006717F9"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</w:tcPr>
          <w:p w14:paraId="23CACBA2" w14:textId="713C13B8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Implementation &amp; Review 7.</w:t>
            </w:r>
            <w:r w:rsidR="00D1484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35F2CB2A" w14:textId="43FE5C58" w:rsidR="006717F9" w:rsidRDefault="006717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76FA">
              <w:rPr>
                <w:rFonts w:ascii="Arial" w:eastAsia="Arial" w:hAnsi="Arial" w:cs="Arial"/>
                <w:sz w:val="20"/>
                <w:szCs w:val="20"/>
              </w:rPr>
              <w:t xml:space="preserve">Review </w:t>
            </w:r>
            <w:r w:rsidR="000B76FA" w:rsidRPr="000B76FA">
              <w:rPr>
                <w:rFonts w:ascii="Arial" w:eastAsia="Arial" w:hAnsi="Arial" w:cs="Arial"/>
                <w:sz w:val="20"/>
                <w:szCs w:val="20"/>
              </w:rPr>
              <w:t xml:space="preserve">members of </w:t>
            </w:r>
            <w:r w:rsidRPr="000B76FA">
              <w:rPr>
                <w:rFonts w:ascii="Arial" w:eastAsia="Arial" w:hAnsi="Arial" w:cs="Arial"/>
                <w:sz w:val="20"/>
                <w:szCs w:val="20"/>
              </w:rPr>
              <w:t xml:space="preserve">stakeholder 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 xml:space="preserve">working </w:t>
            </w:r>
            <w:r w:rsidRPr="000B76FA">
              <w:rPr>
                <w:rFonts w:ascii="Arial" w:eastAsia="Arial" w:hAnsi="Arial" w:cs="Arial"/>
                <w:sz w:val="20"/>
                <w:szCs w:val="20"/>
              </w:rPr>
              <w:t>group for this action plan</w:t>
            </w:r>
            <w:r w:rsidR="000B76FA" w:rsidRPr="000B76F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6FA">
              <w:rPr>
                <w:rFonts w:ascii="Arial" w:eastAsia="Arial" w:hAnsi="Arial" w:cs="Arial"/>
                <w:sz w:val="20"/>
                <w:szCs w:val="20"/>
              </w:rPr>
              <w:t xml:space="preserve"> to include pre-award team</w:t>
            </w:r>
            <w:r w:rsidR="000B76FA" w:rsidRPr="000B76FA">
              <w:rPr>
                <w:rFonts w:ascii="Arial" w:eastAsia="Arial" w:hAnsi="Arial" w:cs="Arial"/>
                <w:sz w:val="20"/>
                <w:szCs w:val="20"/>
              </w:rPr>
              <w:t xml:space="preserve"> and ECR Forum Chair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E68D569" w14:textId="1D87D65B" w:rsidR="006717F9" w:rsidRDefault="000B76F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 20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56CFFE1A" w14:textId="7F53E41F" w:rsidR="006717F9" w:rsidRDefault="000B76F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Stakeholder group constituted with new members representing all key areas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45406F0" w14:textId="14827BE5" w:rsidR="006717F9" w:rsidRPr="00071C06" w:rsidRDefault="000B76F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Pro-Director (Research and Enterprise)</w:t>
            </w:r>
          </w:p>
        </w:tc>
      </w:tr>
      <w:tr w:rsidR="008822C8" w14:paraId="55B1B31A" w14:textId="77777777" w:rsidTr="006717F9"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</w:tcPr>
          <w:p w14:paraId="23990284" w14:textId="1D30BE6B" w:rsidR="008822C8" w:rsidRPr="006368B2" w:rsidRDefault="008822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8B2">
              <w:rPr>
                <w:rFonts w:ascii="Arial" w:eastAsia="Arial" w:hAnsi="Arial" w:cs="Arial"/>
                <w:sz w:val="20"/>
                <w:szCs w:val="20"/>
              </w:rPr>
              <w:t>Implementation &amp; Review 7.4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40025367" w14:textId="20EACEA7" w:rsidR="008822C8" w:rsidRPr="006368B2" w:rsidRDefault="008822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8B2">
              <w:rPr>
                <w:rFonts w:ascii="Arial" w:hAnsi="Arial" w:cs="Arial"/>
                <w:sz w:val="20"/>
                <w:szCs w:val="20"/>
              </w:rPr>
              <w:t>Mapping over the Action Plan to the new template of the 2019 version of the Concordat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4465AE7" w14:textId="21145F1C" w:rsidR="008822C8" w:rsidRPr="006368B2" w:rsidRDefault="008822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8B2">
              <w:rPr>
                <w:rFonts w:ascii="Arial" w:eastAsia="Arial" w:hAnsi="Arial" w:cs="Arial"/>
                <w:sz w:val="20"/>
                <w:szCs w:val="20"/>
              </w:rPr>
              <w:t>June 21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0A1A2A83" w14:textId="6AF9C0F4" w:rsidR="008822C8" w:rsidRPr="006368B2" w:rsidRDefault="008822C8" w:rsidP="002E35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8B2">
              <w:rPr>
                <w:rFonts w:ascii="Arial" w:eastAsia="Arial" w:hAnsi="Arial" w:cs="Arial"/>
                <w:sz w:val="20"/>
                <w:szCs w:val="20"/>
              </w:rPr>
              <w:t xml:space="preserve">At least </w:t>
            </w:r>
            <w:r w:rsidR="00813D13" w:rsidRPr="006368B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368B2">
              <w:rPr>
                <w:rFonts w:ascii="Arial" w:eastAsia="Arial" w:hAnsi="Arial" w:cs="Arial"/>
                <w:sz w:val="20"/>
                <w:szCs w:val="20"/>
              </w:rPr>
              <w:t xml:space="preserve">0% of </w:t>
            </w:r>
            <w:r w:rsidR="00813D13" w:rsidRPr="006368B2">
              <w:rPr>
                <w:rFonts w:ascii="Arial" w:eastAsia="Arial" w:hAnsi="Arial" w:cs="Arial"/>
                <w:sz w:val="20"/>
                <w:szCs w:val="20"/>
              </w:rPr>
              <w:t>research staff</w:t>
            </w:r>
            <w:r w:rsidRPr="006368B2">
              <w:rPr>
                <w:rFonts w:ascii="Arial" w:eastAsia="Arial" w:hAnsi="Arial" w:cs="Arial"/>
                <w:sz w:val="20"/>
                <w:szCs w:val="20"/>
              </w:rPr>
              <w:t xml:space="preserve"> engage with ECR Forum and other networking and training events targeting ECRs. Success will be measured through gathering good news stories from ECRs and feedback and evaluation data from events</w:t>
            </w:r>
            <w:r w:rsidR="002E35B8" w:rsidRPr="006368B2">
              <w:rPr>
                <w:rFonts w:ascii="Arial" w:eastAsia="Arial" w:hAnsi="Arial" w:cs="Arial"/>
                <w:sz w:val="20"/>
                <w:szCs w:val="20"/>
              </w:rPr>
              <w:t>. Undertake a gap analysis to compare our</w:t>
            </w:r>
            <w:r w:rsidR="002E35B8" w:rsidRPr="006368B2">
              <w:rPr>
                <w:rFonts w:ascii="Arial" w:hAnsi="Arial" w:cs="Arial"/>
                <w:sz w:val="20"/>
                <w:szCs w:val="20"/>
              </w:rPr>
              <w:t xml:space="preserve"> policies and practice against the Concordat Principles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8DD87DB" w14:textId="7B43ADBD" w:rsidR="008822C8" w:rsidRPr="006368B2" w:rsidRDefault="008822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8B2">
              <w:rPr>
                <w:rFonts w:ascii="Arial" w:eastAsia="Arial" w:hAnsi="Arial" w:cs="Arial"/>
                <w:sz w:val="20"/>
                <w:szCs w:val="20"/>
              </w:rPr>
              <w:t>ADR (Researcher Development &amp; Ethics)</w:t>
            </w:r>
          </w:p>
        </w:tc>
      </w:tr>
      <w:tr w:rsidR="005524F1" w14:paraId="647299CC" w14:textId="77777777" w:rsidTr="006717F9"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</w:tcPr>
          <w:p w14:paraId="72B79F78" w14:textId="6619B2AB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Recognition &amp; Value 7.</w:t>
            </w:r>
            <w:r w:rsidR="008822C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096DB6A2" w14:textId="20714532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Continue to hold termly HREiR award working group chaired by senior lead for researcher development, and report to REC each May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1041807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251AA0B5" w14:textId="384C0EE1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Meetings and report</w:t>
            </w:r>
            <w:r w:rsidR="000B76FA">
              <w:rPr>
                <w:rFonts w:ascii="Arial" w:eastAsia="Arial" w:hAnsi="Arial" w:cs="Arial"/>
                <w:sz w:val="20"/>
                <w:szCs w:val="20"/>
              </w:rPr>
              <w:t>s presented annually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9940345" w14:textId="77777777" w:rsidR="005524F1" w:rsidRPr="00071C06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71C06">
              <w:rPr>
                <w:rFonts w:ascii="Arial" w:eastAsia="Arial" w:hAnsi="Arial" w:cs="Arial"/>
                <w:sz w:val="20"/>
                <w:szCs w:val="20"/>
              </w:rPr>
              <w:t>ADR (Researcher Development &amp; Ethics)</w:t>
            </w:r>
          </w:p>
        </w:tc>
      </w:tr>
      <w:tr w:rsidR="005524F1" w14:paraId="3489649B" w14:textId="77777777" w:rsidTr="00937AF8">
        <w:tc>
          <w:tcPr>
            <w:tcW w:w="15168" w:type="dxa"/>
            <w:gridSpan w:val="5"/>
            <w:shd w:val="clear" w:color="auto" w:fill="D9D9D9"/>
          </w:tcPr>
          <w:p w14:paraId="1B831F26" w14:textId="77777777" w:rsidR="005524F1" w:rsidRDefault="005524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E55A10" w14:textId="77777777" w:rsidR="001A3D82" w:rsidRDefault="001A3D82">
      <w:pPr>
        <w:rPr>
          <w:b/>
        </w:rPr>
      </w:pPr>
    </w:p>
    <w:p w14:paraId="5B7B9D44" w14:textId="77777777" w:rsidR="001A3D82" w:rsidRDefault="009E51FC">
      <w:pPr>
        <w:rPr>
          <w:b/>
        </w:rPr>
      </w:pPr>
      <w:r>
        <w:rPr>
          <w:b/>
        </w:rPr>
        <w:t>Glossary</w:t>
      </w:r>
    </w:p>
    <w:p w14:paraId="2351E3DA" w14:textId="77777777" w:rsidR="00937AF8" w:rsidRDefault="00937AF8"/>
    <w:p w14:paraId="019E87ED" w14:textId="61C2BD5B" w:rsidR="00937AF8" w:rsidRDefault="00937AF8">
      <w:r>
        <w:t>ADR</w:t>
      </w:r>
      <w:r>
        <w:tab/>
      </w:r>
      <w:r>
        <w:tab/>
      </w:r>
      <w:r>
        <w:tab/>
      </w:r>
      <w:r>
        <w:tab/>
        <w:t>Associate Director of Research</w:t>
      </w:r>
    </w:p>
    <w:p w14:paraId="304D0E39" w14:textId="0C57066F" w:rsidR="001A3D82" w:rsidRDefault="009E51FC">
      <w:r>
        <w:t>BAM</w:t>
      </w:r>
      <w:r>
        <w:tab/>
      </w:r>
      <w:r>
        <w:tab/>
      </w:r>
      <w:r>
        <w:tab/>
      </w:r>
      <w:r>
        <w:tab/>
        <w:t>Business Alert Manager – automated email</w:t>
      </w:r>
    </w:p>
    <w:p w14:paraId="1727765A" w14:textId="77777777" w:rsidR="001A3D82" w:rsidRDefault="009E51FC">
      <w:r>
        <w:t xml:space="preserve">EB </w:t>
      </w:r>
      <w:r>
        <w:tab/>
      </w:r>
      <w:r>
        <w:tab/>
      </w:r>
      <w:r>
        <w:tab/>
      </w:r>
      <w:r>
        <w:tab/>
        <w:t>Executive Board</w:t>
      </w:r>
    </w:p>
    <w:p w14:paraId="5FF425C6" w14:textId="77777777" w:rsidR="001A3D82" w:rsidRDefault="009E51FC">
      <w:r>
        <w:t>EDC</w:t>
      </w:r>
      <w:r>
        <w:tab/>
      </w:r>
      <w:r>
        <w:tab/>
      </w:r>
      <w:r>
        <w:tab/>
      </w:r>
      <w:r>
        <w:tab/>
        <w:t>Equality &amp; Diversity Committee</w:t>
      </w:r>
    </w:p>
    <w:p w14:paraId="3459F6EB" w14:textId="77777777" w:rsidR="001A3D82" w:rsidRDefault="009E51FC">
      <w:r>
        <w:t>HR</w:t>
      </w:r>
      <w:r>
        <w:tab/>
      </w:r>
      <w:r>
        <w:tab/>
      </w:r>
      <w:r>
        <w:tab/>
      </w:r>
      <w:r>
        <w:tab/>
        <w:t>Human Resources</w:t>
      </w:r>
    </w:p>
    <w:p w14:paraId="0EB7CC08" w14:textId="040AD85E" w:rsidR="00813D13" w:rsidRDefault="00813D13" w:rsidP="00813D13">
      <w:bookmarkStart w:id="0" w:name="_GoBack"/>
      <w:bookmarkEnd w:id="0"/>
      <w:r w:rsidRPr="006368B2">
        <w:t>MGHN</w:t>
      </w:r>
      <w:r w:rsidRPr="006368B2">
        <w:tab/>
      </w:r>
      <w:r w:rsidRPr="006368B2">
        <w:tab/>
      </w:r>
      <w:r w:rsidRPr="006368B2">
        <w:tab/>
        <w:t>Major Grant Holders Network for PIs holding/applying for large grants</w:t>
      </w:r>
    </w:p>
    <w:p w14:paraId="7A6274FA" w14:textId="77777777" w:rsidR="001A3D82" w:rsidRDefault="009E51FC">
      <w:r>
        <w:t>PDHEP Core Units</w:t>
      </w:r>
      <w:r>
        <w:tab/>
      </w:r>
      <w:r>
        <w:tab/>
        <w:t>Professional Development in Higher Education Programme, 3 day core units as minimum teacher training requirement</w:t>
      </w:r>
    </w:p>
    <w:p w14:paraId="2E2E9255" w14:textId="77777777" w:rsidR="001A3D82" w:rsidRDefault="009E51FC">
      <w:r>
        <w:t xml:space="preserve">PI </w:t>
      </w:r>
      <w:r>
        <w:tab/>
      </w:r>
      <w:r>
        <w:tab/>
      </w:r>
      <w:r>
        <w:tab/>
      </w:r>
      <w:r>
        <w:tab/>
        <w:t>Principal Investigator</w:t>
      </w:r>
    </w:p>
    <w:p w14:paraId="4BB095EE" w14:textId="77777777" w:rsidR="001A3D82" w:rsidRDefault="009E51FC">
      <w:r>
        <w:t>REC</w:t>
      </w:r>
      <w:r>
        <w:tab/>
      </w:r>
      <w:r>
        <w:tab/>
      </w:r>
      <w:r>
        <w:tab/>
      </w:r>
      <w:r>
        <w:tab/>
        <w:t>Research &amp; Enterprise Committee</w:t>
      </w:r>
    </w:p>
    <w:p w14:paraId="50749723" w14:textId="77777777" w:rsidR="001A3D82" w:rsidRDefault="009E51FC">
      <w:r>
        <w:t>RED</w:t>
      </w:r>
      <w:r>
        <w:tab/>
      </w:r>
      <w:r>
        <w:tab/>
      </w:r>
      <w:r>
        <w:tab/>
      </w:r>
      <w:r>
        <w:tab/>
        <w:t>Research &amp; Enterprise Directorate</w:t>
      </w:r>
    </w:p>
    <w:p w14:paraId="23D70517" w14:textId="77777777" w:rsidR="001A3D82" w:rsidRDefault="009E51FC">
      <w:r>
        <w:t>RM</w:t>
      </w:r>
      <w:r>
        <w:tab/>
      </w:r>
      <w:r>
        <w:tab/>
      </w:r>
      <w:r>
        <w:tab/>
      </w:r>
      <w:r>
        <w:tab/>
        <w:t>Research Manager</w:t>
      </w:r>
    </w:p>
    <w:p w14:paraId="61723CD2" w14:textId="5C1DFCA4" w:rsidR="001A3D82" w:rsidRPr="007F0DDF" w:rsidRDefault="009E51FC" w:rsidP="007F0DDF">
      <w:r>
        <w:t>SL&amp;OD</w:t>
      </w:r>
      <w:r>
        <w:tab/>
      </w:r>
      <w:r>
        <w:tab/>
      </w:r>
      <w:r>
        <w:tab/>
        <w:t>Staff Learning &amp; Organisational Developmen</w:t>
      </w:r>
      <w:r w:rsidR="007F0DDF">
        <w:t>t</w:t>
      </w:r>
    </w:p>
    <w:p w14:paraId="0FA78491" w14:textId="467E62F3" w:rsidR="001A3D82" w:rsidRDefault="002B632B">
      <w:r>
        <w:br w:type="textWrapping" w:clear="all"/>
      </w:r>
    </w:p>
    <w:sectPr w:rsidR="001A3D82">
      <w:headerReference w:type="default" r:id="rId8"/>
      <w:footerReference w:type="default" r:id="rId9"/>
      <w:pgSz w:w="16839" w:h="11907"/>
      <w:pgMar w:top="1185" w:right="1008" w:bottom="896" w:left="100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6611" w14:textId="77777777" w:rsidR="00DE6AAA" w:rsidRDefault="00DE6AAA">
      <w:r>
        <w:separator/>
      </w:r>
    </w:p>
  </w:endnote>
  <w:endnote w:type="continuationSeparator" w:id="0">
    <w:p w14:paraId="673D4ABA" w14:textId="77777777" w:rsidR="00DE6AAA" w:rsidRDefault="00DE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3F0E" w14:textId="1B79856C" w:rsidR="001A3D82" w:rsidRDefault="009E51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68B2">
      <w:rPr>
        <w:noProof/>
        <w:color w:val="000000"/>
      </w:rPr>
      <w:t>1</w:t>
    </w:r>
    <w:r>
      <w:rPr>
        <w:color w:val="000000"/>
      </w:rPr>
      <w:fldChar w:fldCharType="end"/>
    </w:r>
  </w:p>
  <w:p w14:paraId="78C4DEFD" w14:textId="77777777" w:rsidR="001A3D82" w:rsidRDefault="001A3D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2238" w14:textId="77777777" w:rsidR="00DE6AAA" w:rsidRDefault="00DE6AAA">
      <w:r>
        <w:separator/>
      </w:r>
    </w:p>
  </w:footnote>
  <w:footnote w:type="continuationSeparator" w:id="0">
    <w:p w14:paraId="14A04474" w14:textId="77777777" w:rsidR="00DE6AAA" w:rsidRDefault="00DE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452A" w14:textId="35931B6B" w:rsidR="001A3D82" w:rsidRDefault="006717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965"/>
      </w:tabs>
      <w:rPr>
        <w:color w:val="000000"/>
      </w:rPr>
    </w:pPr>
    <w:r>
      <w:rPr>
        <w:noProof/>
        <w:lang w:eastAsia="en-GB"/>
      </w:rPr>
      <w:drawing>
        <wp:anchor distT="0" distB="0" distL="0" distR="0" simplePos="0" relativeHeight="251658240" behindDoc="0" locked="0" layoutInCell="1" hidden="0" allowOverlap="1" wp14:anchorId="0867FD60" wp14:editId="25831AB3">
          <wp:simplePos x="0" y="0"/>
          <wp:positionH relativeFrom="column">
            <wp:posOffset>7271385</wp:posOffset>
          </wp:positionH>
          <wp:positionV relativeFrom="paragraph">
            <wp:posOffset>1905</wp:posOffset>
          </wp:positionV>
          <wp:extent cx="2476500" cy="777848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777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51FC">
      <w:rPr>
        <w:noProof/>
        <w:color w:val="000000"/>
        <w:lang w:eastAsia="en-GB"/>
      </w:rPr>
      <w:drawing>
        <wp:inline distT="0" distB="0" distL="0" distR="0" wp14:anchorId="769259A2" wp14:editId="678585B9">
          <wp:extent cx="2552700" cy="8953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E51FC">
      <w:rPr>
        <w:color w:val="000000"/>
      </w:rPr>
      <w:t xml:space="preserve">  </w:t>
    </w:r>
    <w:r w:rsidR="009E51FC">
      <w:rPr>
        <w:b/>
        <w:color w:val="000000"/>
      </w:rPr>
      <w:t xml:space="preserve">SOAS, University of London Concordat Implementation Plan </w:t>
    </w:r>
    <w:r>
      <w:rPr>
        <w:b/>
        <w:color w:val="000000"/>
      </w:rPr>
      <w:t>2</w:t>
    </w:r>
    <w:r w:rsidR="009E51FC">
      <w:rPr>
        <w:b/>
        <w:color w:val="000000"/>
      </w:rPr>
      <w:t xml:space="preserve">020-24 </w:t>
    </w:r>
    <w:r w:rsidR="009E51FC">
      <w:rPr>
        <w:color w:val="000000"/>
      </w:rPr>
      <w:t xml:space="preserve">   </w:t>
    </w:r>
  </w:p>
  <w:p w14:paraId="2C2B2337" w14:textId="77777777" w:rsidR="001A3D82" w:rsidRDefault="009E51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965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A66"/>
    <w:multiLevelType w:val="multilevel"/>
    <w:tmpl w:val="3648D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2"/>
    <w:rsid w:val="00071C06"/>
    <w:rsid w:val="000B76FA"/>
    <w:rsid w:val="001625F4"/>
    <w:rsid w:val="001A3D82"/>
    <w:rsid w:val="001E27B1"/>
    <w:rsid w:val="002B632B"/>
    <w:rsid w:val="002E35B8"/>
    <w:rsid w:val="00354F8A"/>
    <w:rsid w:val="00371953"/>
    <w:rsid w:val="003839C6"/>
    <w:rsid w:val="003F4D20"/>
    <w:rsid w:val="004B5E73"/>
    <w:rsid w:val="004F2635"/>
    <w:rsid w:val="005524F1"/>
    <w:rsid w:val="005915E8"/>
    <w:rsid w:val="005D7258"/>
    <w:rsid w:val="006368B2"/>
    <w:rsid w:val="006717F9"/>
    <w:rsid w:val="006A7549"/>
    <w:rsid w:val="0072447C"/>
    <w:rsid w:val="00773527"/>
    <w:rsid w:val="007A2B1A"/>
    <w:rsid w:val="007F0DDF"/>
    <w:rsid w:val="00813D13"/>
    <w:rsid w:val="00832F93"/>
    <w:rsid w:val="00833E1A"/>
    <w:rsid w:val="008822C8"/>
    <w:rsid w:val="00935FAC"/>
    <w:rsid w:val="00937AF8"/>
    <w:rsid w:val="009C4DAC"/>
    <w:rsid w:val="009E51FC"/>
    <w:rsid w:val="00A06092"/>
    <w:rsid w:val="00AA77A2"/>
    <w:rsid w:val="00B203C9"/>
    <w:rsid w:val="00B56952"/>
    <w:rsid w:val="00B707D2"/>
    <w:rsid w:val="00D14843"/>
    <w:rsid w:val="00DB7585"/>
    <w:rsid w:val="00DE6AAA"/>
    <w:rsid w:val="00E07F76"/>
    <w:rsid w:val="00E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F460"/>
  <w15:docId w15:val="{78E7A049-D457-4811-84A2-96C2F486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F9"/>
  </w:style>
  <w:style w:type="paragraph" w:styleId="Footer">
    <w:name w:val="footer"/>
    <w:basedOn w:val="Normal"/>
    <w:link w:val="FooterChar"/>
    <w:uiPriority w:val="99"/>
    <w:unhideWhenUsed/>
    <w:rsid w:val="00671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A0B8-312B-4E5C-991B-BFEE3142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Hassane boussateha</dc:creator>
  <cp:lastModifiedBy>Kimberly Hovish</cp:lastModifiedBy>
  <cp:revision>2</cp:revision>
  <dcterms:created xsi:type="dcterms:W3CDTF">2021-01-25T18:57:00Z</dcterms:created>
  <dcterms:modified xsi:type="dcterms:W3CDTF">2021-01-25T18:57:00Z</dcterms:modified>
</cp:coreProperties>
</file>